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5D" w:rsidRDefault="008C015D" w:rsidP="008C015D">
      <w:pPr>
        <w:pageBreakBefore/>
        <w:spacing w:line="360" w:lineRule="auto"/>
        <w:jc w:val="center"/>
        <w:rPr>
          <w:rFonts w:asci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int="eastAsia"/>
          <w:b/>
          <w:sz w:val="28"/>
          <w:szCs w:val="28"/>
        </w:rPr>
        <w:t>年全国马铃薯主食加工产业“十大领军企业”申报表</w:t>
      </w:r>
    </w:p>
    <w:bookmarkEnd w:id="0"/>
    <w:p w:rsidR="008C015D" w:rsidRDefault="008C015D" w:rsidP="008C015D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填表时间：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年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月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62"/>
        <w:gridCol w:w="1413"/>
        <w:gridCol w:w="1410"/>
        <w:gridCol w:w="1223"/>
        <w:gridCol w:w="1598"/>
      </w:tblGrid>
      <w:tr w:rsidR="008C015D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</w:tr>
      <w:tr w:rsidR="008C015D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</w:tr>
      <w:tr w:rsidR="008C015D" w:rsidTr="003C24ED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企业</w:t>
            </w:r>
          </w:p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8C015D" w:rsidTr="003C24ED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Default="008C015D" w:rsidP="003C24ED">
            <w:pPr>
              <w:widowControl/>
              <w:jc w:val="left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</w:tr>
      <w:tr w:rsidR="008C015D" w:rsidTr="003C24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</w:p>
        </w:tc>
      </w:tr>
      <w:tr w:rsidR="008C015D" w:rsidTr="003C24ED">
        <w:trPr>
          <w:trHeight w:val="66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Default="008C015D" w:rsidP="003C24E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申报理由</w:t>
            </w:r>
          </w:p>
          <w:p w:rsidR="008C015D" w:rsidRPr="0084575E" w:rsidRDefault="008C015D" w:rsidP="003C24E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84575E">
              <w:rPr>
                <w:rFonts w:ascii="Times New Roman"/>
              </w:rPr>
              <w:t>（</w:t>
            </w:r>
            <w:r>
              <w:rPr>
                <w:rFonts w:ascii="Times New Roman" w:hAnsi="Times New Roman" w:hint="eastAsia"/>
              </w:rPr>
              <w:t>500</w:t>
            </w:r>
            <w:r w:rsidRPr="0084575E">
              <w:rPr>
                <w:rFonts w:ascii="Times New Roman"/>
              </w:rPr>
              <w:t>字</w:t>
            </w:r>
            <w:r>
              <w:rPr>
                <w:rFonts w:ascii="Times New Roman" w:hint="eastAsia"/>
              </w:rPr>
              <w:t>以内</w:t>
            </w:r>
            <w:r w:rsidRPr="0084575E">
              <w:rPr>
                <w:rFonts w:ascii="Times New Roman"/>
              </w:rPr>
              <w:t>）</w:t>
            </w:r>
          </w:p>
        </w:tc>
        <w:tc>
          <w:tcPr>
            <w:tcW w:w="6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center"/>
            </w:pPr>
          </w:p>
        </w:tc>
      </w:tr>
      <w:tr w:rsidR="008C015D" w:rsidTr="003C24ED">
        <w:trPr>
          <w:trHeight w:val="6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Default="008C015D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</w:t>
            </w:r>
          </w:p>
        </w:tc>
        <w:tc>
          <w:tcPr>
            <w:tcW w:w="6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  <w:rPr>
                <w:rFonts w:hint="eastAsia"/>
              </w:rPr>
            </w:pPr>
          </w:p>
          <w:p w:rsidR="008C015D" w:rsidRDefault="008C015D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2</w:t>
            </w:r>
            <w:r w:rsidRPr="006849DD">
              <w:t>018</w:t>
            </w:r>
            <w:r w:rsidRPr="006849DD">
              <w:rPr>
                <w:rFonts w:hint="eastAsia"/>
              </w:rPr>
              <w:t>年全国马铃薯主食加工产业“十大领军企业”申报表附件</w:t>
            </w:r>
            <w:r>
              <w:rPr>
                <w:rFonts w:hint="eastAsia"/>
              </w:rPr>
              <w:t>要求填写。</w:t>
            </w:r>
          </w:p>
          <w:p w:rsidR="008C015D" w:rsidRPr="006849DD" w:rsidRDefault="008C015D" w:rsidP="003C24ED">
            <w:pPr>
              <w:jc w:val="center"/>
            </w:pPr>
          </w:p>
        </w:tc>
      </w:tr>
      <w:tr w:rsidR="008C015D" w:rsidTr="003C24ED">
        <w:trPr>
          <w:trHeight w:val="145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Default="008C015D" w:rsidP="003C24ED">
            <w:pPr>
              <w:rPr>
                <w:rFonts w:hint="eastAsia"/>
              </w:rPr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6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ind w:firstLineChars="1000" w:firstLine="2100"/>
              <w:jc w:val="left"/>
              <w:rPr>
                <w:rFonts w:hint="eastAsia"/>
              </w:rPr>
            </w:pPr>
          </w:p>
          <w:p w:rsidR="008C015D" w:rsidRDefault="008C015D" w:rsidP="003C24ED">
            <w:pPr>
              <w:ind w:firstLineChars="1000" w:firstLine="2100"/>
              <w:jc w:val="left"/>
              <w:rPr>
                <w:rFonts w:hint="eastAsia"/>
              </w:rPr>
            </w:pPr>
          </w:p>
          <w:p w:rsidR="008C015D" w:rsidRDefault="008C015D" w:rsidP="003C24ED">
            <w:pPr>
              <w:ind w:firstLineChars="1000" w:firstLine="2100"/>
              <w:jc w:val="left"/>
              <w:rPr>
                <w:rFonts w:hint="eastAsia"/>
              </w:rPr>
            </w:pPr>
          </w:p>
          <w:p w:rsidR="008C015D" w:rsidRDefault="008C015D" w:rsidP="003C24ED">
            <w:pPr>
              <w:ind w:firstLineChars="1000" w:firstLine="2100"/>
              <w:jc w:val="left"/>
              <w:rPr>
                <w:rFonts w:hint="eastAsia"/>
              </w:rPr>
            </w:pPr>
          </w:p>
          <w:p w:rsidR="008C015D" w:rsidRDefault="008C015D" w:rsidP="003C24ED">
            <w:pPr>
              <w:ind w:firstLineChars="1000" w:firstLine="2100"/>
              <w:jc w:val="left"/>
            </w:pPr>
            <w:r>
              <w:rPr>
                <w:rFonts w:hint="eastAsia"/>
              </w:rPr>
              <w:t>法人代表签字：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单位盖章：</w:t>
            </w:r>
          </w:p>
          <w:p w:rsidR="008C015D" w:rsidRDefault="008C015D" w:rsidP="003C24ED">
            <w:pPr>
              <w:jc w:val="center"/>
              <w:rPr>
                <w:rFonts w:hint="eastAsia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C015D" w:rsidRDefault="008C015D" w:rsidP="008C015D">
      <w:pPr>
        <w:spacing w:line="360" w:lineRule="auto"/>
        <w:jc w:val="left"/>
        <w:rPr>
          <w:rFonts w:ascii="Times New Roman" w:hAnsi="Times New Roman" w:hint="eastAsia"/>
          <w:b/>
          <w:sz w:val="28"/>
          <w:szCs w:val="28"/>
        </w:rPr>
      </w:pPr>
      <w:r w:rsidRPr="00E77F64">
        <w:rPr>
          <w:rFonts w:ascii="Times New Roman" w:hAnsi="Times New Roman" w:hint="eastAsia"/>
          <w:szCs w:val="21"/>
        </w:rPr>
        <w:t>（注：马铃薯主食包括马铃薯米制品、面制品、休闲食品、地方特色食品等，马铃薯干物质含量不低于</w:t>
      </w:r>
      <w:r w:rsidRPr="00E77F64">
        <w:rPr>
          <w:rFonts w:ascii="Times New Roman" w:hAnsi="Times New Roman" w:hint="eastAsia"/>
          <w:szCs w:val="21"/>
        </w:rPr>
        <w:t>15%</w:t>
      </w:r>
      <w:r w:rsidRPr="00E77F64">
        <w:rPr>
          <w:rFonts w:ascii="Times New Roman" w:hAnsi="Times New Roman" w:hint="eastAsia"/>
          <w:szCs w:val="21"/>
        </w:rPr>
        <w:t>，马铃薯淀粉产品不属于马铃薯主食）</w:t>
      </w:r>
    </w:p>
    <w:p w:rsidR="008C015D" w:rsidRDefault="008C015D" w:rsidP="008C015D">
      <w:pPr>
        <w:pageBreakBefore/>
        <w:spacing w:line="36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2018</w:t>
      </w:r>
      <w:r>
        <w:rPr>
          <w:rFonts w:ascii="Times New Roman" w:hint="eastAsia"/>
          <w:b/>
          <w:sz w:val="28"/>
          <w:szCs w:val="28"/>
        </w:rPr>
        <w:t>年全国马铃薯主食加工产业“十大领军企业”申报表附件</w:t>
      </w:r>
    </w:p>
    <w:p w:rsidR="008C015D" w:rsidRDefault="008C015D" w:rsidP="008C015D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填表时间：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年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月</w:t>
      </w:r>
      <w:r>
        <w:rPr>
          <w:rFonts w:ascii="Times New Roman"/>
          <w:sz w:val="18"/>
          <w:szCs w:val="18"/>
        </w:rPr>
        <w:t xml:space="preserve">  </w:t>
      </w:r>
      <w:r>
        <w:rPr>
          <w:rFonts w:ascii="Times New Roman" w:hint="eastAsia"/>
          <w:sz w:val="18"/>
          <w:szCs w:val="1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2805"/>
        <w:gridCol w:w="3121"/>
        <w:gridCol w:w="1161"/>
      </w:tblGrid>
      <w:tr w:rsidR="008C015D" w:rsidRPr="00D80F54" w:rsidTr="003C24ED">
        <w:trPr>
          <w:trHeight w:val="269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D80F54" w:rsidRDefault="008C015D" w:rsidP="003C24ED">
            <w:pPr>
              <w:jc w:val="center"/>
              <w:rPr>
                <w:b/>
                <w:sz w:val="24"/>
                <w:szCs w:val="24"/>
              </w:rPr>
            </w:pPr>
            <w:r w:rsidRPr="00D80F54">
              <w:rPr>
                <w:rFonts w:hint="eastAsia"/>
                <w:b/>
                <w:sz w:val="24"/>
                <w:szCs w:val="24"/>
              </w:rPr>
              <w:t>企业基本情况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Pr="00D80F54" w:rsidRDefault="008C015D" w:rsidP="003C24ED">
            <w:pPr>
              <w:jc w:val="center"/>
              <w:rPr>
                <w:b/>
                <w:sz w:val="24"/>
                <w:szCs w:val="24"/>
              </w:rPr>
            </w:pPr>
            <w:r w:rsidRPr="00D80F54">
              <w:rPr>
                <w:rFonts w:hint="eastAsia"/>
                <w:b/>
                <w:sz w:val="24"/>
                <w:szCs w:val="24"/>
              </w:rPr>
              <w:t>证明材料份数</w:t>
            </w:r>
          </w:p>
        </w:tc>
      </w:tr>
      <w:tr w:rsidR="008C015D" w:rsidRPr="001E45F7" w:rsidTr="003C24ED">
        <w:trPr>
          <w:trHeight w:val="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生产规模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企业资产总额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29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马铃薯原料年均消耗数量，马铃薯主食化产品年加工能力（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2015-201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年）（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</w:p>
          <w:p w:rsidR="008C015D" w:rsidRPr="001E45F7" w:rsidRDefault="008C015D" w:rsidP="003C24E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新增马铃薯主食化加工设备及生产线（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2015-201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年）（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  <w:r w:rsidRPr="001E45F7">
              <w:rPr>
                <w:sz w:val="18"/>
                <w:szCs w:val="18"/>
              </w:rPr>
              <w:t xml:space="preserve">      </w:t>
            </w:r>
          </w:p>
          <w:p w:rsidR="008C015D" w:rsidRPr="001E45F7" w:rsidRDefault="008C015D" w:rsidP="003C24ED">
            <w:pPr>
              <w:rPr>
                <w:sz w:val="18"/>
                <w:szCs w:val="18"/>
              </w:rPr>
            </w:pPr>
            <w:r w:rsidRPr="001E45F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42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经济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效益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马铃薯主食化产品销售地区和国家（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2015-201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年）（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5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马铃薯主食化产品年均销售数量、销售金额、利税金额（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2015-201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年）（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  <w:r w:rsidRPr="001E45F7">
              <w:rPr>
                <w:sz w:val="18"/>
                <w:szCs w:val="18"/>
              </w:rPr>
              <w:t xml:space="preserve">      </w:t>
            </w:r>
          </w:p>
          <w:p w:rsidR="008C015D" w:rsidRPr="001E45F7" w:rsidRDefault="008C015D" w:rsidP="003C24E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52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5D" w:rsidRPr="001E45F7" w:rsidRDefault="008C015D" w:rsidP="003C24E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品牌建设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5D" w:rsidRPr="001E45F7" w:rsidRDefault="008C015D" w:rsidP="003C24ED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马铃薯主食</w:t>
            </w:r>
            <w:proofErr w:type="gramStart"/>
            <w:r w:rsidRPr="001E45F7">
              <w:rPr>
                <w:rFonts w:ascii="Times New Roman" w:hAnsi="Times New Roman" w:hint="eastAsia"/>
                <w:sz w:val="18"/>
                <w:szCs w:val="18"/>
              </w:rPr>
              <w:t>化相关</w:t>
            </w:r>
            <w:proofErr w:type="gramEnd"/>
            <w:r w:rsidRPr="001E45F7">
              <w:rPr>
                <w:rFonts w:ascii="Times New Roman" w:hAnsi="Times New Roman" w:hint="eastAsia"/>
                <w:sz w:val="18"/>
                <w:szCs w:val="18"/>
              </w:rPr>
              <w:t>品牌建设情况（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2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质量标准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马铃薯主食化产品生产管理和加工标准（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2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5D" w:rsidRPr="001E45F7" w:rsidRDefault="008C015D" w:rsidP="003C24ED">
            <w:pPr>
              <w:spacing w:line="480" w:lineRule="auto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环境保护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企业节能减排等绿色环保情况（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left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37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科技创新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Default="008C015D" w:rsidP="003C24ED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产品研发平台建设情况</w:t>
            </w:r>
          </w:p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27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专利申请与授权情况（发明专利、外观设计、实用新型）（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00-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38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与国内外高校、科研院所合作情况（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5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参与马铃薯主食</w:t>
            </w:r>
            <w:proofErr w:type="gramStart"/>
            <w:r w:rsidRPr="001E45F7">
              <w:rPr>
                <w:rFonts w:ascii="Times New Roman" w:hAnsi="Times New Roman" w:hint="eastAsia"/>
                <w:sz w:val="18"/>
                <w:szCs w:val="18"/>
              </w:rPr>
              <w:t>化相关</w:t>
            </w:r>
            <w:proofErr w:type="gramEnd"/>
            <w:r w:rsidRPr="001E45F7">
              <w:rPr>
                <w:rFonts w:ascii="Times New Roman" w:hAnsi="Times New Roman" w:hint="eastAsia"/>
                <w:sz w:val="18"/>
                <w:szCs w:val="18"/>
              </w:rPr>
              <w:t>国家、行业标准制定情况（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>
              <w:rPr>
                <w:rFonts w:ascii="Times New Roman" w:hint="eastAsia"/>
                <w:sz w:val="18"/>
                <w:szCs w:val="18"/>
              </w:rPr>
              <w:t>以内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5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社会效益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带动马铃薯产业发展，带动农民脱贫致富情况；</w:t>
            </w:r>
            <w:r>
              <w:rPr>
                <w:rFonts w:ascii="Times New Roman" w:hAnsi="Times New Roman" w:hint="eastAsia"/>
                <w:sz w:val="18"/>
                <w:szCs w:val="18"/>
              </w:rPr>
              <w:t>是否为全国主食加工示范企业及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参加马铃薯主食化产业</w:t>
            </w:r>
            <w:r>
              <w:rPr>
                <w:rFonts w:ascii="Times New Roman" w:hAnsi="Times New Roman" w:hint="eastAsia"/>
                <w:sz w:val="18"/>
                <w:szCs w:val="18"/>
              </w:rPr>
              <w:t>联盟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及社会公益活动情况（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00-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E45F7">
              <w:rPr>
                <w:rFonts w:ascii="Times New Roman" w:hAnsi="Times New Roman"/>
                <w:sz w:val="18"/>
                <w:szCs w:val="18"/>
              </w:rPr>
              <w:t>00</w:t>
            </w:r>
            <w:r w:rsidRPr="001E45F7">
              <w:rPr>
                <w:rFonts w:ascii="Times New Roman"/>
                <w:sz w:val="18"/>
                <w:szCs w:val="18"/>
              </w:rPr>
              <w:t>字</w:t>
            </w:r>
            <w:r w:rsidRPr="001E45F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RPr="001E45F7" w:rsidTr="003C24ED">
        <w:trPr>
          <w:trHeight w:val="1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15D" w:rsidRPr="001E45F7" w:rsidRDefault="008C015D" w:rsidP="003C24ED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5F7">
              <w:rPr>
                <w:rFonts w:ascii="Times New Roman" w:hAnsi="Times New Roman" w:hint="eastAsia"/>
                <w:sz w:val="18"/>
                <w:szCs w:val="18"/>
              </w:rPr>
              <w:t>其他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5D" w:rsidRPr="001E45F7" w:rsidRDefault="008C015D" w:rsidP="003C2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Pr="001E45F7" w:rsidRDefault="008C015D" w:rsidP="003C24ED">
            <w:pPr>
              <w:jc w:val="center"/>
              <w:rPr>
                <w:sz w:val="18"/>
                <w:szCs w:val="18"/>
              </w:rPr>
            </w:pPr>
          </w:p>
        </w:tc>
      </w:tr>
      <w:tr w:rsidR="008C015D" w:rsidTr="003C24E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申报单位</w:t>
            </w:r>
          </w:p>
          <w:p w:rsidR="008C015D" w:rsidRDefault="008C015D" w:rsidP="003C24E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5D" w:rsidRDefault="008C015D" w:rsidP="003C24ED">
            <w:pPr>
              <w:jc w:val="left"/>
              <w:rPr>
                <w:rFonts w:hint="eastAsia"/>
              </w:rPr>
            </w:pPr>
            <w:r>
              <w:t xml:space="preserve">   </w:t>
            </w:r>
          </w:p>
          <w:p w:rsidR="008C015D" w:rsidRDefault="008C015D" w:rsidP="003C24ED">
            <w:pPr>
              <w:ind w:firstLineChars="1000" w:firstLine="2100"/>
              <w:jc w:val="left"/>
              <w:rPr>
                <w:rFonts w:hint="eastAsia"/>
              </w:rPr>
            </w:pPr>
          </w:p>
          <w:p w:rsidR="008C015D" w:rsidRDefault="008C015D" w:rsidP="003C24ED">
            <w:pPr>
              <w:ind w:firstLineChars="1000" w:firstLine="2100"/>
              <w:jc w:val="left"/>
              <w:rPr>
                <w:rFonts w:hint="eastAsia"/>
              </w:rPr>
            </w:pPr>
          </w:p>
          <w:p w:rsidR="008C015D" w:rsidRDefault="008C015D" w:rsidP="003C24ED">
            <w:pPr>
              <w:ind w:firstLineChars="1000" w:firstLine="2100"/>
              <w:jc w:val="left"/>
            </w:pPr>
            <w:r>
              <w:rPr>
                <w:rFonts w:hint="eastAsia"/>
              </w:rPr>
              <w:t>法人代表签字：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单位盖章：</w:t>
            </w:r>
          </w:p>
          <w:p w:rsidR="008C015D" w:rsidRDefault="008C015D" w:rsidP="003C24ED">
            <w:pPr>
              <w:jc w:val="left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C015D" w:rsidRDefault="008C015D" w:rsidP="008C015D">
      <w:pPr>
        <w:jc w:val="left"/>
        <w:rPr>
          <w:rFonts w:hint="eastAsia"/>
          <w:b/>
        </w:rPr>
      </w:pPr>
      <w:r>
        <w:rPr>
          <w:rFonts w:hint="eastAsia"/>
          <w:b/>
        </w:rPr>
        <w:lastRenderedPageBreak/>
        <w:t>注：证明材料请以附件形式提供。</w:t>
      </w:r>
    </w:p>
    <w:p w:rsidR="007A4CC2" w:rsidRPr="008C015D" w:rsidRDefault="008C015D"/>
    <w:sectPr w:rsidR="007A4CC2" w:rsidRPr="008C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5D"/>
    <w:rsid w:val="000E19A4"/>
    <w:rsid w:val="008C015D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B5687-BAA9-4753-ABCE-BDC7ADC4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>Lenovo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2018-05-23T12:24:00Z</dcterms:created>
  <dcterms:modified xsi:type="dcterms:W3CDTF">2018-05-23T12:24:00Z</dcterms:modified>
</cp:coreProperties>
</file>